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 xml:space="preserve">4. OBIECTUL CONTRACTULUI  </w:t>
      </w:r>
    </w:p>
    <w:p w14:paraId="4E8EBEA4" w14:textId="284729AE"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8E73E4">
        <w:rPr>
          <w:rFonts w:asciiTheme="minorHAnsi" w:hAnsiTheme="minorHAnsi" w:cs="Arial"/>
          <w:b/>
          <w:bCs/>
        </w:rPr>
        <w:t xml:space="preserve">necesare </w:t>
      </w:r>
      <w:r w:rsidR="008E73E4" w:rsidRPr="008E73E4">
        <w:rPr>
          <w:rFonts w:asciiTheme="minorHAnsi" w:hAnsiTheme="minorHAnsi" w:cs="Arial"/>
          <w:b/>
          <w:bCs/>
        </w:rPr>
        <w:t>organizar</w:t>
      </w:r>
      <w:r w:rsidR="008E73E4">
        <w:rPr>
          <w:rFonts w:asciiTheme="minorHAnsi" w:hAnsiTheme="minorHAnsi" w:cs="Arial"/>
          <w:b/>
          <w:bCs/>
        </w:rPr>
        <w:t>ii</w:t>
      </w:r>
      <w:r w:rsidR="008E73E4" w:rsidRPr="008E73E4">
        <w:rPr>
          <w:rFonts w:asciiTheme="minorHAnsi" w:hAnsiTheme="minorHAnsi" w:cs="Arial"/>
          <w:b/>
          <w:bCs/>
        </w:rPr>
        <w:t xml:space="preserve"> </w:t>
      </w:r>
      <w:r w:rsidR="00C86BCE" w:rsidRPr="00C86BCE">
        <w:rPr>
          <w:rFonts w:asciiTheme="minorHAnsi" w:hAnsiTheme="minorHAnsi" w:cs="Arial"/>
          <w:b/>
          <w:bCs/>
        </w:rPr>
        <w:t>eveniment</w:t>
      </w:r>
      <w:r w:rsidR="00C86BCE">
        <w:rPr>
          <w:rFonts w:asciiTheme="minorHAnsi" w:hAnsiTheme="minorHAnsi" w:cs="Arial"/>
          <w:b/>
          <w:bCs/>
        </w:rPr>
        <w:t>ului</w:t>
      </w:r>
      <w:r w:rsidR="00C86BCE" w:rsidRPr="00C86BCE">
        <w:rPr>
          <w:rFonts w:asciiTheme="minorHAnsi" w:hAnsiTheme="minorHAnsi" w:cs="Arial"/>
          <w:b/>
          <w:bCs/>
        </w:rPr>
        <w:t xml:space="preserve"> Founders Bootcamp in perioada 18- 20 mai 2022, Piatra Neamț</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2CED253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w:t>
      </w:r>
      <w:r w:rsidR="00194709">
        <w:rPr>
          <w:rFonts w:asciiTheme="minorHAnsi" w:eastAsia="Times New Roman" w:hAnsiTheme="minorHAnsi" w:cs="Arial"/>
          <w:lang w:val="it-IT"/>
        </w:rPr>
        <w:t xml:space="preserve">produsele/livrabilele </w:t>
      </w:r>
      <w:r w:rsidRPr="00441A3D">
        <w:rPr>
          <w:rFonts w:asciiTheme="minorHAnsi" w:eastAsia="Times New Roman" w:hAnsiTheme="minorHAnsi" w:cs="Arial"/>
          <w:lang w:val="it-IT"/>
        </w:rPr>
        <w:t xml:space="preserve">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31C0B68B"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 prestatorului de catre achizitor, pentru serviciile real prestate</w:t>
      </w:r>
      <w:r w:rsidR="00194709">
        <w:rPr>
          <w:rFonts w:asciiTheme="minorHAnsi" w:eastAsia="Times New Roman" w:hAnsiTheme="minorHAnsi" w:cs="Arial"/>
          <w:lang w:val="it-IT"/>
        </w:rPr>
        <w:t xml:space="preserve"> si livrabilele/produsele furnizate</w:t>
      </w:r>
      <w:r w:rsidRPr="00441A3D">
        <w:rPr>
          <w:rFonts w:asciiTheme="minorHAnsi" w:eastAsia="Times New Roman" w:hAnsiTheme="minorHAnsi" w:cs="Arial"/>
          <w:lang w:val="it-IT"/>
        </w:rPr>
        <w:t xml:space="preserv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 xml:space="preserve">ă a </w:t>
      </w:r>
      <w:r w:rsidR="00C95ED6">
        <w:rPr>
          <w:rFonts w:asciiTheme="minorHAnsi" w:eastAsia="Times New Roman" w:hAnsiTheme="minorHAnsi" w:cs="Arial"/>
        </w:rPr>
        <w:t>prestatorului</w:t>
      </w:r>
      <w:r w:rsidR="005D1B61">
        <w:rPr>
          <w:rFonts w:asciiTheme="minorHAnsi" w:eastAsia="Times New Roman" w:hAnsiTheme="minorHAnsi" w:cs="Arial"/>
        </w:rPr>
        <w:t xml:space="preserve">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1A3EB29E"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w:t>
      </w:r>
      <w:r w:rsidR="00194709">
        <w:rPr>
          <w:rFonts w:cs="Calibri"/>
          <w:bCs/>
        </w:rPr>
        <w:t xml:space="preserve">si furnizarii produselor </w:t>
      </w:r>
      <w:r w:rsidRPr="005D1B61">
        <w:rPr>
          <w:rFonts w:cs="Calibri"/>
          <w:bCs/>
        </w:rPr>
        <w:t>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6416D4FC"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A55D46" w:rsidRPr="00A55D46">
        <w:rPr>
          <w:rFonts w:asciiTheme="minorHAnsi" w:hAnsiTheme="minorHAnsi" w:cs="Arial"/>
        </w:rPr>
        <w:t>05</w:t>
      </w:r>
      <w:r w:rsidR="002D2D2D" w:rsidRPr="00A55D46">
        <w:rPr>
          <w:rFonts w:asciiTheme="minorHAnsi" w:hAnsiTheme="minorHAnsi" w:cs="Arial"/>
        </w:rPr>
        <w:t>.0</w:t>
      </w:r>
      <w:r w:rsidR="00A55D46" w:rsidRPr="00A55D46">
        <w:rPr>
          <w:rFonts w:asciiTheme="minorHAnsi" w:hAnsiTheme="minorHAnsi" w:cs="Arial"/>
        </w:rPr>
        <w:t>7</w:t>
      </w:r>
      <w:r w:rsidR="008E73E4" w:rsidRPr="00A55D46">
        <w:rPr>
          <w:rFonts w:asciiTheme="minorHAnsi" w:hAnsiTheme="minorHAnsi" w:cs="Arial"/>
        </w:rPr>
        <w:t>.</w:t>
      </w:r>
      <w:r w:rsidR="002D2D2D" w:rsidRPr="00A55D46">
        <w:rPr>
          <w:rFonts w:asciiTheme="minorHAnsi" w:hAnsiTheme="minorHAnsi" w:cs="Arial"/>
        </w:rPr>
        <w:t>202</w:t>
      </w:r>
      <w:r w:rsidR="00043B6B" w:rsidRPr="00A55D46">
        <w:rPr>
          <w:rFonts w:asciiTheme="minorHAnsi" w:hAnsiTheme="minorHAnsi" w:cs="Arial"/>
        </w:rPr>
        <w:t>2</w:t>
      </w:r>
      <w:r w:rsidR="002D2D2D" w:rsidRPr="00A55D46">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lastRenderedPageBreak/>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7E6A61D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 xml:space="preserve">aietului de sarcini si se obliga sa receptioneze, potrivit art. 12, </w:t>
      </w:r>
      <w:r w:rsidR="00E4147D">
        <w:rPr>
          <w:rFonts w:asciiTheme="minorHAnsi" w:hAnsiTheme="minorHAnsi" w:cs="Arial"/>
          <w:bCs/>
        </w:rPr>
        <w:t xml:space="preserve">livrabilele furnizate si </w:t>
      </w:r>
      <w:r w:rsidRPr="00441A3D">
        <w:rPr>
          <w:rFonts w:asciiTheme="minorHAnsi" w:hAnsiTheme="minorHAnsi" w:cs="Arial"/>
          <w:bCs/>
        </w:rPr>
        <w:t>serviciile prestate.</w:t>
      </w:r>
    </w:p>
    <w:p w14:paraId="144BE10E" w14:textId="3BB7F9F3"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w:t>
      </w:r>
      <w:r w:rsidR="00E4147D">
        <w:rPr>
          <w:rFonts w:asciiTheme="minorHAnsi" w:hAnsiTheme="minorHAnsi" w:cs="Arial"/>
        </w:rPr>
        <w:t xml:space="preserve">produselor si </w:t>
      </w:r>
      <w:r w:rsidRPr="00441A3D">
        <w:rPr>
          <w:rFonts w:asciiTheme="minorHAnsi" w:hAnsiTheme="minorHAnsi" w:cs="Arial"/>
        </w:rPr>
        <w:t xml:space="preserve">serviciilor </w:t>
      </w:r>
      <w:r w:rsidR="00E4147D">
        <w:rPr>
          <w:rFonts w:asciiTheme="minorHAnsi" w:hAnsiTheme="minorHAnsi" w:cs="Arial"/>
        </w:rPr>
        <w:t>receptionate</w:t>
      </w:r>
      <w:r w:rsidRPr="00441A3D">
        <w:rPr>
          <w:rFonts w:asciiTheme="minorHAnsi" w:hAnsiTheme="minorHAnsi" w:cs="Arial"/>
        </w:rPr>
        <w:t xml:space="preserve"> in conditiile prevazute la art.12 din prezentul contract. Factura</w:t>
      </w:r>
      <w:r w:rsidR="00E4147D">
        <w:rPr>
          <w:rFonts w:asciiTheme="minorHAnsi" w:hAnsiTheme="minorHAnsi" w:cs="Arial"/>
        </w:rPr>
        <w:t>/facturile</w:t>
      </w:r>
      <w:r w:rsidRPr="00441A3D">
        <w:rPr>
          <w:rFonts w:asciiTheme="minorHAnsi" w:hAnsiTheme="minorHAnsi" w:cs="Arial"/>
        </w:rPr>
        <w:t xml:space="preserve"> va</w:t>
      </w:r>
      <w:r w:rsidR="00E4147D">
        <w:rPr>
          <w:rFonts w:asciiTheme="minorHAnsi" w:hAnsiTheme="minorHAnsi" w:cs="Arial"/>
        </w:rPr>
        <w:t>/vor</w:t>
      </w:r>
      <w:r w:rsidRPr="00441A3D">
        <w:rPr>
          <w:rFonts w:asciiTheme="minorHAnsi" w:hAnsiTheme="minorHAnsi" w:cs="Arial"/>
        </w:rPr>
        <w:t xml:space="preserve"> fi insotita</w:t>
      </w:r>
      <w:r w:rsidR="00E4147D">
        <w:rPr>
          <w:rFonts w:asciiTheme="minorHAnsi" w:hAnsiTheme="minorHAnsi" w:cs="Arial"/>
        </w:rPr>
        <w:t>/e</w:t>
      </w:r>
      <w:r w:rsidRPr="00441A3D">
        <w:rPr>
          <w:rFonts w:asciiTheme="minorHAnsi" w:hAnsiTheme="minorHAnsi" w:cs="Arial"/>
        </w:rPr>
        <w:t xml:space="preserve"> in mod obligatoriu de procesul</w:t>
      </w:r>
      <w:r w:rsidR="00E4147D">
        <w:rPr>
          <w:rFonts w:asciiTheme="minorHAnsi" w:hAnsiTheme="minorHAnsi" w:cs="Arial"/>
        </w:rPr>
        <w:t>/procesele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08F8B77D"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w:t>
      </w:r>
      <w:r w:rsidR="00E4147D">
        <w:rPr>
          <w:rFonts w:asciiTheme="minorHAnsi" w:hAnsiTheme="minorHAnsi" w:cs="Arial"/>
        </w:rPr>
        <w:t xml:space="preserve">produselor si </w:t>
      </w:r>
      <w:r w:rsidRPr="00441A3D">
        <w:rPr>
          <w:rFonts w:asciiTheme="minorHAnsi" w:hAnsiTheme="minorHAnsi" w:cs="Arial"/>
        </w:rPr>
        <w:t xml:space="preserve">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w:t>
      </w:r>
      <w:r w:rsidR="00E4147D">
        <w:rPr>
          <w:rFonts w:asciiTheme="minorHAnsi" w:hAnsiTheme="minorHAnsi" w:cs="Arial"/>
        </w:rPr>
        <w:t xml:space="preserve">produselor si </w:t>
      </w:r>
      <w:r w:rsidRPr="00441A3D">
        <w:rPr>
          <w:rFonts w:asciiTheme="minorHAnsi" w:hAnsiTheme="minorHAnsi" w:cs="Arial"/>
        </w:rPr>
        <w:t>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51F3E694"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w:t>
      </w:r>
      <w:r w:rsidR="00E4147D">
        <w:rPr>
          <w:rFonts w:asciiTheme="minorHAnsi" w:hAnsiTheme="minorHAnsi" w:cs="Arial"/>
        </w:rPr>
        <w:t xml:space="preserve">produselor/livrabilelor </w:t>
      </w:r>
      <w:r w:rsidR="002E6D90">
        <w:rPr>
          <w:rFonts w:asciiTheme="minorHAnsi" w:hAnsiTheme="minorHAnsi" w:cs="Arial"/>
        </w:rPr>
        <w:t xml:space="preserve">si a </w:t>
      </w:r>
      <w:r w:rsidRPr="00441A3D">
        <w:rPr>
          <w:rFonts w:asciiTheme="minorHAnsi" w:hAnsiTheme="minorHAnsi" w:cs="Arial"/>
        </w:rPr>
        <w:t>serviciilor prestate se va face</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 xml:space="preserve">si vor fi consemnate </w:t>
      </w:r>
      <w:r w:rsidR="0046121C">
        <w:rPr>
          <w:rFonts w:asciiTheme="minorHAnsi" w:hAnsiTheme="minorHAnsi" w:cs="Arial"/>
        </w:rPr>
        <w:t xml:space="preserve"> </w:t>
      </w:r>
      <w:r w:rsidRPr="00441A3D">
        <w:rPr>
          <w:rFonts w:asciiTheme="minorHAnsi" w:hAnsiTheme="minorHAnsi" w:cs="Arial"/>
        </w:rPr>
        <w:t xml:space="preserve">in </w:t>
      </w:r>
      <w:r w:rsidRPr="00441A3D">
        <w:rPr>
          <w:rFonts w:asciiTheme="minorHAnsi" w:hAnsiTheme="minorHAnsi" w:cs="Arial"/>
          <w:b/>
        </w:rPr>
        <w:t>proces</w:t>
      </w:r>
      <w:r w:rsidR="002E6D90">
        <w:rPr>
          <w:rFonts w:asciiTheme="minorHAnsi" w:hAnsiTheme="minorHAnsi" w:cs="Arial"/>
          <w:b/>
        </w:rPr>
        <w:t>e</w:t>
      </w:r>
      <w:r w:rsidRPr="00441A3D">
        <w:rPr>
          <w:rFonts w:asciiTheme="minorHAnsi" w:hAnsiTheme="minorHAnsi" w:cs="Arial"/>
          <w:b/>
        </w:rPr>
        <w:t xml:space="preserve"> verbal</w:t>
      </w:r>
      <w:r w:rsidR="002E6D90">
        <w:rPr>
          <w:rFonts w:asciiTheme="minorHAnsi" w:hAnsiTheme="minorHAnsi" w:cs="Arial"/>
          <w:b/>
        </w:rPr>
        <w:t>e</w:t>
      </w:r>
      <w:r w:rsidRPr="00441A3D">
        <w:rPr>
          <w:rFonts w:asciiTheme="minorHAnsi" w:hAnsiTheme="minorHAnsi" w:cs="Arial"/>
          <w:b/>
        </w:rPr>
        <w:t xml:space="preserve"> de </w:t>
      </w:r>
      <w:r w:rsidR="002E6D90">
        <w:rPr>
          <w:rFonts w:asciiTheme="minorHAnsi" w:hAnsiTheme="minorHAnsi" w:cs="Arial"/>
          <w:b/>
        </w:rPr>
        <w:t>receptie,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8F2D014"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40D709AB"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4A86888" w14:textId="3498BE5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4</w:t>
      </w:r>
      <w:r w:rsidRPr="00441A3D">
        <w:rPr>
          <w:rFonts w:asciiTheme="minorHAnsi" w:hAnsiTheme="minorHAnsi" w:cs="Arial"/>
          <w:lang w:eastAsia="ar-SA"/>
        </w:rPr>
        <w:t xml:space="preserve"> Achizitorul isi rezerva dreptul de a denunta unilateral contractul de prestari servicii, in cel mult </w:t>
      </w:r>
      <w:r w:rsidR="00043B6B">
        <w:rPr>
          <w:rFonts w:asciiTheme="minorHAnsi" w:hAnsiTheme="minorHAnsi" w:cs="Arial"/>
          <w:lang w:eastAsia="ar-SA"/>
        </w:rPr>
        <w:t>2</w:t>
      </w:r>
      <w:r w:rsidRPr="00441A3D">
        <w:rPr>
          <w:rFonts w:asciiTheme="minorHAnsi" w:hAnsiTheme="minorHAnsi" w:cs="Arial"/>
          <w:lang w:eastAsia="ar-SA"/>
        </w:rPr>
        <w:t xml:space="preserve"> zile de la aparitia unor circumstante care nu au putut fi prevazute la data incheierii contractului,</w:t>
      </w:r>
      <w:r w:rsidR="00FF3218">
        <w:rPr>
          <w:rFonts w:asciiTheme="minorHAnsi" w:hAnsiTheme="minorHAnsi" w:cs="Arial"/>
          <w:lang w:eastAsia="ar-SA"/>
        </w:rPr>
        <w:t xml:space="preserve"> inclusiv</w:t>
      </w:r>
      <w:r w:rsidR="00FF3218" w:rsidRPr="00FF3218">
        <w:t xml:space="preserve"> </w:t>
      </w:r>
      <w:r w:rsidR="00FF3218" w:rsidRPr="00FF3218">
        <w:rPr>
          <w:rFonts w:asciiTheme="minorHAnsi" w:hAnsiTheme="minorHAnsi" w:cs="Arial"/>
          <w:lang w:eastAsia="ar-SA"/>
        </w:rPr>
        <w:t xml:space="preserve">urmare a masurilor </w:t>
      </w:r>
      <w:r w:rsidR="00FF3218" w:rsidRPr="00FF3218">
        <w:rPr>
          <w:rFonts w:asciiTheme="minorHAnsi" w:hAnsiTheme="minorHAnsi" w:cs="Arial"/>
          <w:lang w:eastAsia="ar-SA"/>
        </w:rPr>
        <w:lastRenderedPageBreak/>
        <w:t>guvernamentale instituite la nivel de oras/tara</w:t>
      </w:r>
      <w:r w:rsidR="00FF3218">
        <w:rPr>
          <w:rFonts w:asciiTheme="minorHAnsi" w:hAnsiTheme="minorHAnsi" w:cs="Arial"/>
          <w:lang w:eastAsia="ar-SA"/>
        </w:rPr>
        <w:t>,</w:t>
      </w:r>
      <w:r w:rsidRPr="00441A3D">
        <w:rPr>
          <w:rFonts w:asciiTheme="minorHAnsi" w:hAnsiTheme="minorHAnsi" w:cs="Arial"/>
          <w:lang w:eastAsia="ar-SA"/>
        </w:rPr>
        <w:t xml:space="preserve"> </w:t>
      </w:r>
      <w:bookmarkStart w:id="4" w:name="_Hlk98836686"/>
      <w:r w:rsidRPr="00441A3D">
        <w:rPr>
          <w:rFonts w:asciiTheme="minorHAnsi" w:hAnsiTheme="minorHAnsi" w:cs="Arial"/>
          <w:lang w:eastAsia="ar-SA"/>
        </w:rPr>
        <w:t xml:space="preserve">sub conditia notificarii prestatorului cu cel putin </w:t>
      </w:r>
      <w:r w:rsidR="00043B6B">
        <w:rPr>
          <w:rFonts w:asciiTheme="minorHAnsi" w:hAnsiTheme="minorHAnsi" w:cs="Arial"/>
          <w:lang w:eastAsia="ar-SA"/>
        </w:rPr>
        <w:t>1</w:t>
      </w:r>
      <w:r w:rsidRPr="00441A3D">
        <w:rPr>
          <w:rFonts w:asciiTheme="minorHAnsi" w:hAnsiTheme="minorHAnsi" w:cs="Arial"/>
          <w:lang w:eastAsia="ar-SA"/>
        </w:rPr>
        <w:t xml:space="preserve"> zi inainte de momentul rezilierii.</w:t>
      </w:r>
    </w:p>
    <w:bookmarkEnd w:id="4"/>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2348" w14:textId="77777777" w:rsidR="00ED7F73" w:rsidRDefault="00ED7F73" w:rsidP="005D1B61">
      <w:pPr>
        <w:spacing w:after="0" w:line="240" w:lineRule="auto"/>
      </w:pPr>
      <w:r>
        <w:separator/>
      </w:r>
    </w:p>
  </w:endnote>
  <w:endnote w:type="continuationSeparator" w:id="0">
    <w:p w14:paraId="4D303EF7" w14:textId="77777777" w:rsidR="00ED7F73" w:rsidRDefault="00ED7F73"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4CA6" w14:textId="77777777" w:rsidR="00ED7F73" w:rsidRDefault="00ED7F73" w:rsidP="005D1B61">
      <w:pPr>
        <w:spacing w:after="0" w:line="240" w:lineRule="auto"/>
      </w:pPr>
      <w:r>
        <w:separator/>
      </w:r>
    </w:p>
  </w:footnote>
  <w:footnote w:type="continuationSeparator" w:id="0">
    <w:p w14:paraId="4DA2B91E" w14:textId="77777777" w:rsidR="00ED7F73" w:rsidRDefault="00ED7F73"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448164211">
    <w:abstractNumId w:val="18"/>
  </w:num>
  <w:num w:numId="2" w16cid:durableId="844439611">
    <w:abstractNumId w:val="0"/>
  </w:num>
  <w:num w:numId="3" w16cid:durableId="1322540482">
    <w:abstractNumId w:val="29"/>
  </w:num>
  <w:num w:numId="4" w16cid:durableId="1318800989">
    <w:abstractNumId w:val="24"/>
  </w:num>
  <w:num w:numId="5" w16cid:durableId="1878077193">
    <w:abstractNumId w:val="11"/>
  </w:num>
  <w:num w:numId="6" w16cid:durableId="165901242">
    <w:abstractNumId w:val="4"/>
  </w:num>
  <w:num w:numId="7" w16cid:durableId="2012176078">
    <w:abstractNumId w:val="15"/>
  </w:num>
  <w:num w:numId="8" w16cid:durableId="42681045">
    <w:abstractNumId w:val="14"/>
  </w:num>
  <w:num w:numId="9" w16cid:durableId="1948462352">
    <w:abstractNumId w:val="8"/>
  </w:num>
  <w:num w:numId="10" w16cid:durableId="269092079">
    <w:abstractNumId w:val="22"/>
  </w:num>
  <w:num w:numId="11" w16cid:durableId="1172797833">
    <w:abstractNumId w:val="26"/>
  </w:num>
  <w:num w:numId="12" w16cid:durableId="1512836315">
    <w:abstractNumId w:val="28"/>
  </w:num>
  <w:num w:numId="13" w16cid:durableId="1220360301">
    <w:abstractNumId w:val="23"/>
  </w:num>
  <w:num w:numId="14" w16cid:durableId="1294940754">
    <w:abstractNumId w:val="10"/>
  </w:num>
  <w:num w:numId="15" w16cid:durableId="1720593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766566">
    <w:abstractNumId w:val="17"/>
  </w:num>
  <w:num w:numId="17" w16cid:durableId="1235503989">
    <w:abstractNumId w:val="20"/>
  </w:num>
  <w:num w:numId="18" w16cid:durableId="116677750">
    <w:abstractNumId w:val="1"/>
  </w:num>
  <w:num w:numId="19" w16cid:durableId="934247121">
    <w:abstractNumId w:val="2"/>
  </w:num>
  <w:num w:numId="20" w16cid:durableId="670180990">
    <w:abstractNumId w:val="13"/>
  </w:num>
  <w:num w:numId="21" w16cid:durableId="261299497">
    <w:abstractNumId w:val="12"/>
  </w:num>
  <w:num w:numId="22" w16cid:durableId="1944220432">
    <w:abstractNumId w:val="25"/>
  </w:num>
  <w:num w:numId="23" w16cid:durableId="1834101286">
    <w:abstractNumId w:val="9"/>
  </w:num>
  <w:num w:numId="24" w16cid:durableId="1010335489">
    <w:abstractNumId w:val="16"/>
  </w:num>
  <w:num w:numId="25" w16cid:durableId="2029679562">
    <w:abstractNumId w:val="21"/>
  </w:num>
  <w:num w:numId="26" w16cid:durableId="2073263289">
    <w:abstractNumId w:val="19"/>
  </w:num>
  <w:num w:numId="27" w16cid:durableId="2124573175">
    <w:abstractNumId w:val="6"/>
  </w:num>
  <w:num w:numId="28" w16cid:durableId="1809785268">
    <w:abstractNumId w:val="27"/>
  </w:num>
  <w:num w:numId="29" w16cid:durableId="1481464067">
    <w:abstractNumId w:val="7"/>
  </w:num>
  <w:num w:numId="30" w16cid:durableId="917246270">
    <w:abstractNumId w:val="3"/>
  </w:num>
  <w:num w:numId="31" w16cid:durableId="34911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0E667F"/>
    <w:rsid w:val="0016007E"/>
    <w:rsid w:val="00171DD9"/>
    <w:rsid w:val="00194709"/>
    <w:rsid w:val="002D2D2D"/>
    <w:rsid w:val="002E6D90"/>
    <w:rsid w:val="00441A3D"/>
    <w:rsid w:val="0046121C"/>
    <w:rsid w:val="00563A6E"/>
    <w:rsid w:val="005D1B61"/>
    <w:rsid w:val="00741784"/>
    <w:rsid w:val="00843059"/>
    <w:rsid w:val="008E73E4"/>
    <w:rsid w:val="0097209C"/>
    <w:rsid w:val="00A0016A"/>
    <w:rsid w:val="00A55D46"/>
    <w:rsid w:val="00C72CB7"/>
    <w:rsid w:val="00C86BCE"/>
    <w:rsid w:val="00C95ED6"/>
    <w:rsid w:val="00D61378"/>
    <w:rsid w:val="00DB31C7"/>
    <w:rsid w:val="00DD3D6E"/>
    <w:rsid w:val="00E4147D"/>
    <w:rsid w:val="00EC2C93"/>
    <w:rsid w:val="00ED7F7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10</cp:revision>
  <dcterms:created xsi:type="dcterms:W3CDTF">2021-06-28T08:07:00Z</dcterms:created>
  <dcterms:modified xsi:type="dcterms:W3CDTF">2022-05-09T09:09:00Z</dcterms:modified>
</cp:coreProperties>
</file>